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71120E" w:rsidRPr="0071120E" w:rsidTr="0071120E">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71120E" w:rsidRPr="0071120E">
              <w:trPr>
                <w:trHeight w:val="555"/>
                <w:tblCellSpacing w:w="0" w:type="dxa"/>
              </w:trPr>
              <w:tc>
                <w:tcPr>
                  <w:tcW w:w="0" w:type="auto"/>
                  <w:vAlign w:val="center"/>
                  <w:hideMark/>
                </w:tcPr>
                <w:p w:rsidR="0071120E" w:rsidRPr="0071120E" w:rsidRDefault="0071120E" w:rsidP="0071120E">
                  <w:pPr>
                    <w:widowControl/>
                    <w:spacing w:line="640" w:lineRule="atLeast"/>
                    <w:jc w:val="center"/>
                    <w:rPr>
                      <w:rFonts w:ascii="宋体" w:eastAsia="宋体" w:hAnsi="宋体" w:cs="宋体"/>
                      <w:b/>
                      <w:bCs/>
                      <w:color w:val="185895"/>
                      <w:kern w:val="0"/>
                      <w:sz w:val="36"/>
                      <w:szCs w:val="36"/>
                    </w:rPr>
                  </w:pPr>
                  <w:r w:rsidRPr="0071120E">
                    <w:rPr>
                      <w:rFonts w:ascii="宋体" w:eastAsia="宋体" w:hAnsi="宋体" w:cs="宋体" w:hint="eastAsia"/>
                      <w:b/>
                      <w:bCs/>
                      <w:color w:val="185895"/>
                      <w:kern w:val="0"/>
                      <w:sz w:val="36"/>
                      <w:szCs w:val="36"/>
                    </w:rPr>
                    <w:t xml:space="preserve">关于进一步加强和改进行政事业单位国有资产管理工作的通知 </w:t>
                  </w:r>
                </w:p>
              </w:tc>
            </w:tr>
          </w:tbl>
          <w:p w:rsidR="0071120E" w:rsidRPr="0071120E" w:rsidRDefault="0071120E" w:rsidP="0071120E">
            <w:pPr>
              <w:widowControl/>
              <w:spacing w:line="320"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71120E" w:rsidRPr="0071120E">
              <w:trPr>
                <w:trHeight w:val="15"/>
                <w:tblCellSpacing w:w="0" w:type="dxa"/>
              </w:trPr>
              <w:tc>
                <w:tcPr>
                  <w:tcW w:w="0" w:type="auto"/>
                  <w:vAlign w:val="center"/>
                  <w:hideMark/>
                </w:tcPr>
                <w:p w:rsidR="0071120E" w:rsidRPr="0071120E" w:rsidRDefault="0071120E" w:rsidP="0071120E">
                  <w:pPr>
                    <w:widowControl/>
                    <w:spacing w:line="15" w:lineRule="atLeast"/>
                    <w:jc w:val="left"/>
                    <w:rPr>
                      <w:rFonts w:ascii="宋体" w:eastAsia="宋体" w:hAnsi="宋体" w:cs="宋体"/>
                      <w:kern w:val="0"/>
                      <w:sz w:val="18"/>
                      <w:szCs w:val="18"/>
                    </w:rPr>
                  </w:pPr>
                  <w:r w:rsidRPr="0071120E">
                    <w:rPr>
                      <w:rFonts w:ascii="宋体" w:eastAsia="宋体" w:hAnsi="宋体" w:cs="宋体" w:hint="eastAsia"/>
                      <w:kern w:val="0"/>
                      <w:sz w:val="18"/>
                      <w:szCs w:val="18"/>
                    </w:rPr>
                    <w:pict>
                      <v:rect id="_x0000_i1025" style="width:525pt;height:.75pt" o:hrpct="0" o:hralign="center" o:hrstd="t" o:hrnoshade="t" o:hr="t" fillcolor="#99c2e2" stroked="f"/>
                    </w:pict>
                  </w:r>
                </w:p>
              </w:tc>
            </w:tr>
          </w:tbl>
          <w:p w:rsidR="0071120E" w:rsidRPr="0071120E" w:rsidRDefault="0071120E" w:rsidP="0071120E">
            <w:pPr>
              <w:widowControl/>
              <w:spacing w:line="320"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71120E" w:rsidRPr="0071120E">
              <w:trPr>
                <w:tblCellSpacing w:w="0" w:type="dxa"/>
              </w:trPr>
              <w:tc>
                <w:tcPr>
                  <w:tcW w:w="0" w:type="auto"/>
                  <w:vAlign w:val="center"/>
                  <w:hideMark/>
                </w:tcPr>
                <w:p w:rsidR="0071120E" w:rsidRPr="0071120E" w:rsidRDefault="0071120E" w:rsidP="0071120E">
                  <w:pPr>
                    <w:widowControl/>
                    <w:spacing w:line="440" w:lineRule="atLeast"/>
                    <w:jc w:val="left"/>
                    <w:rPr>
                      <w:rFonts w:ascii="宋体" w:eastAsia="宋体" w:hAnsi="宋体" w:cs="宋体"/>
                      <w:kern w:val="0"/>
                      <w:sz w:val="24"/>
                      <w:szCs w:val="24"/>
                    </w:rPr>
                  </w:pPr>
                </w:p>
              </w:tc>
            </w:tr>
          </w:tbl>
          <w:p w:rsidR="0071120E" w:rsidRPr="0071120E" w:rsidRDefault="0071120E" w:rsidP="0071120E">
            <w:pPr>
              <w:widowControl/>
              <w:spacing w:line="320" w:lineRule="atLeast"/>
              <w:jc w:val="left"/>
              <w:rPr>
                <w:rFonts w:ascii="宋体" w:eastAsia="宋体" w:hAnsi="宋体" w:cs="宋体"/>
                <w:color w:val="000000"/>
                <w:kern w:val="0"/>
                <w:sz w:val="18"/>
                <w:szCs w:val="18"/>
              </w:rPr>
            </w:pPr>
          </w:p>
        </w:tc>
      </w:tr>
      <w:tr w:rsidR="0071120E" w:rsidRPr="0071120E" w:rsidTr="0071120E">
        <w:trPr>
          <w:tblCellSpacing w:w="0" w:type="dxa"/>
        </w:trPr>
        <w:tc>
          <w:tcPr>
            <w:tcW w:w="0" w:type="auto"/>
            <w:shd w:val="clear" w:color="auto" w:fill="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71120E" w:rsidRPr="0071120E">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71120E" w:rsidRPr="0071120E">
                    <w:trPr>
                      <w:tblCellSpacing w:w="0" w:type="dxa"/>
                      <w:jc w:val="center"/>
                    </w:trPr>
                    <w:tc>
                      <w:tcPr>
                        <w:tcW w:w="0" w:type="auto"/>
                        <w:vAlign w:val="center"/>
                        <w:hideMark/>
                      </w:tcPr>
                      <w:p w:rsidR="0071120E" w:rsidRPr="0071120E" w:rsidRDefault="0071120E" w:rsidP="0071120E">
                        <w:pPr>
                          <w:widowControl/>
                          <w:spacing w:before="100" w:beforeAutospacing="1" w:after="240" w:line="432" w:lineRule="atLeast"/>
                          <w:jc w:val="center"/>
                          <w:rPr>
                            <w:rFonts w:ascii="宋体" w:eastAsia="宋体" w:hAnsi="宋体" w:cs="宋体" w:hint="eastAsia"/>
                            <w:kern w:val="0"/>
                            <w:sz w:val="24"/>
                            <w:szCs w:val="24"/>
                          </w:rPr>
                        </w:pPr>
                        <w:r w:rsidRPr="0071120E">
                          <w:rPr>
                            <w:rFonts w:ascii="宋体" w:eastAsia="宋体" w:hAnsi="宋体" w:cs="宋体" w:hint="eastAsia"/>
                            <w:kern w:val="0"/>
                            <w:sz w:val="24"/>
                            <w:szCs w:val="24"/>
                          </w:rPr>
                          <w:t>财资〔2018〕108号</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党中央有关部门，国务院各部委、各直属机构，全国人大常委会办公厅，全国政协办公厅，高法院，高检院，各民主党派中央，有关人民团体，各省、自治区、直辖市、计划单列市财政厅（局），新疆生产建设兵团财政局，有关中央管理企业：</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近年来，根据党中央、国务院要求，各地方、各部门和各行政事业单位高度重视行政事业性国有资产管理（以下简称资产管理）工作，构建了管理制度体系，规范了资产配置、使用、处置等各环节管理，夯实了资产年报、信息系统、产权管理等基础工作，有效提升了资产管理的质量和水平，保证了行政事业单位履职和事业发展需要。但是，通过资产年报会审、专题调研、日常管理和有关监督检查等，发现资产管理仍然存在一些较为突出的问题。为切实加强和改进资产管理，更好地保障行政单位有效运转和促进各项事业发展，提高资产使用效率，加快解决存在的问题，夯实2019年向全国人大常委会报告行政事业性国有资产管理情况基础，现就有关事项通知如下：</w:t>
                        </w:r>
                      </w:p>
                      <w:p w:rsidR="0071120E" w:rsidRPr="0071120E" w:rsidRDefault="0071120E" w:rsidP="0071120E">
                        <w:pPr>
                          <w:widowControl/>
                          <w:spacing w:before="100" w:beforeAutospacing="1"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w:t>
                        </w:r>
                        <w:r w:rsidRPr="0071120E">
                          <w:rPr>
                            <w:rFonts w:ascii="宋体" w:eastAsia="宋体" w:hAnsi="宋体" w:cs="宋体" w:hint="eastAsia"/>
                            <w:b/>
                            <w:bCs/>
                            <w:kern w:val="0"/>
                            <w:sz w:val="24"/>
                            <w:szCs w:val="24"/>
                          </w:rPr>
                          <w:t xml:space="preserve">　一、部门和单位要切实承担</w:t>
                        </w:r>
                        <w:proofErr w:type="gramStart"/>
                        <w:r w:rsidRPr="0071120E">
                          <w:rPr>
                            <w:rFonts w:ascii="宋体" w:eastAsia="宋体" w:hAnsi="宋体" w:cs="宋体" w:hint="eastAsia"/>
                            <w:b/>
                            <w:bCs/>
                            <w:kern w:val="0"/>
                            <w:sz w:val="24"/>
                            <w:szCs w:val="24"/>
                          </w:rPr>
                          <w:t>起资产</w:t>
                        </w:r>
                        <w:proofErr w:type="gramEnd"/>
                        <w:r w:rsidRPr="0071120E">
                          <w:rPr>
                            <w:rFonts w:ascii="宋体" w:eastAsia="宋体" w:hAnsi="宋体" w:cs="宋体" w:hint="eastAsia"/>
                            <w:b/>
                            <w:bCs/>
                            <w:kern w:val="0"/>
                            <w:sz w:val="24"/>
                            <w:szCs w:val="24"/>
                          </w:rPr>
                          <w:t>管理的主体责任</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各部门要切实履行好本部门国有资产的主体管理职责以及问题整改的主体责任，要把资产管理放在与资金管理同等重要位置，建立健全资产管理内部控制机制，强化职责分工、密切协调配合，形成管理合力。各单位要强化对资产管理的责任担当意识，切实加强组织领导，抓好具体管理。财政部门要加强对重大事项、重要项目安排和大额资金使用等涉及资产管理事项的指导和监督，并严格按照有关规定办理。</w:t>
                        </w:r>
                      </w:p>
                      <w:p w:rsidR="0071120E" w:rsidRPr="0071120E" w:rsidRDefault="0071120E" w:rsidP="0071120E">
                        <w:pPr>
                          <w:widowControl/>
                          <w:spacing w:before="100" w:beforeAutospacing="1"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w:t>
                        </w:r>
                        <w:r w:rsidRPr="0071120E">
                          <w:rPr>
                            <w:rFonts w:ascii="宋体" w:eastAsia="宋体" w:hAnsi="宋体" w:cs="宋体" w:hint="eastAsia"/>
                            <w:b/>
                            <w:bCs/>
                            <w:kern w:val="0"/>
                            <w:sz w:val="24"/>
                            <w:szCs w:val="24"/>
                          </w:rPr>
                          <w:t>二、加紧做好公共基础设施等资产登记入账和管理工作</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lastRenderedPageBreak/>
                          <w:t xml:space="preserve">　　各单位要按照“谁承担管理维护职责由谁入账”的要求，将公共基础设施、保障性住房、政府储备物资、文物文化等资产分类登记入账，按照相关会计制度要求，进一步规范和加强各类资产的会计核算，做到账实相符，确保资产信息的全面、准确和完整。各部门要认真做好公共基础设施等行政事业性资产年度报告编报工作，在摸清底数的基础上，建立健全相关管理制度，加强资产全生命周期管理。财政部门要逐步理顺公共基础设施等行政事业性资产管理体制，加强顶层设计，组织部门和单位做好制度建设、会计核算和资产报告等工作，确保各项管理工作及时到位。</w:t>
                        </w:r>
                      </w:p>
                      <w:p w:rsidR="0071120E" w:rsidRPr="0071120E" w:rsidRDefault="0071120E" w:rsidP="0071120E">
                        <w:pPr>
                          <w:widowControl/>
                          <w:spacing w:before="100" w:beforeAutospacing="1"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w:t>
                        </w:r>
                        <w:r w:rsidRPr="0071120E">
                          <w:rPr>
                            <w:rFonts w:ascii="宋体" w:eastAsia="宋体" w:hAnsi="宋体" w:cs="宋体" w:hint="eastAsia"/>
                            <w:b/>
                            <w:bCs/>
                            <w:kern w:val="0"/>
                            <w:sz w:val="24"/>
                            <w:szCs w:val="24"/>
                          </w:rPr>
                          <w:t>三、探索建立共享共用和资产调剂机制</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要强化资产配置与资产使用、处置的统筹管理，探索建立长期低效运转、闲置资产的共享共用和调剂机制。各部门要推动所属单位间的共享共用和资产调剂，切实盘活资产存量，提高资产使用效率。要坚决杜绝和纠正既有资产长期闲置，又另行租用同类资产的现象。财政部门要创造条件推动不同主管部门之间的共享共用和资产调剂。</w:t>
                        </w:r>
                      </w:p>
                      <w:p w:rsidR="0071120E" w:rsidRPr="0071120E" w:rsidRDefault="0071120E" w:rsidP="0071120E">
                        <w:pPr>
                          <w:widowControl/>
                          <w:spacing w:before="100" w:beforeAutospacing="1"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w:t>
                        </w:r>
                        <w:r w:rsidRPr="0071120E">
                          <w:rPr>
                            <w:rFonts w:ascii="宋体" w:eastAsia="宋体" w:hAnsi="宋体" w:cs="宋体" w:hint="eastAsia"/>
                            <w:b/>
                            <w:bCs/>
                            <w:kern w:val="0"/>
                            <w:sz w:val="24"/>
                            <w:szCs w:val="24"/>
                          </w:rPr>
                          <w:t>四、优化新增资产配置管理</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要建立健全新增资产配置相关预算管理制度，优化新增资产配置相关预算编报审核机制，以存量制约增量，以增量调整存量，进一步提高资产配置的科学性与合理性。所有使用财政拨款收入和其他各类收入购置纳入新增资产配置相关预算范围的资产，都必须编制新增资产配置相关预算。要加大资产配置标准体系建设力度，为预算编审提供科学依据。对已经有资产配置标准的，要严格按照标准配置；对没有资产配置标准或暂未纳入新增资产配置相关预算编报审核范围的，要坚持厉行节约、反对浪费的原则，结合单位履职需要、存量资产状况和财力情况，在充分论证的基础上配置。</w:t>
                        </w:r>
                      </w:p>
                      <w:p w:rsidR="0071120E" w:rsidRPr="0071120E" w:rsidRDefault="0071120E" w:rsidP="0071120E">
                        <w:pPr>
                          <w:widowControl/>
                          <w:spacing w:before="100" w:beforeAutospacing="1"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w:t>
                        </w:r>
                        <w:r w:rsidRPr="0071120E">
                          <w:rPr>
                            <w:rFonts w:ascii="宋体" w:eastAsia="宋体" w:hAnsi="宋体" w:cs="宋体" w:hint="eastAsia"/>
                            <w:b/>
                            <w:bCs/>
                            <w:kern w:val="0"/>
                            <w:sz w:val="24"/>
                            <w:szCs w:val="24"/>
                          </w:rPr>
                          <w:t>五、严格控制资产出租出借和对外投资</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lastRenderedPageBreak/>
                          <w:t xml:space="preserve">　　要严格执行资产出租出借和对外投资管理的规定，履行相应的报批程序。严禁违规出租出借办公用房。出租房屋等资产原则上实行公开竞价招租。严禁违规出借资金给下属单位或关联单位使用。要规范对外投资管理，及时纳入财务</w:t>
                        </w:r>
                        <w:proofErr w:type="gramStart"/>
                        <w:r w:rsidRPr="0071120E">
                          <w:rPr>
                            <w:rFonts w:ascii="宋体" w:eastAsia="宋体" w:hAnsi="宋体" w:cs="宋体" w:hint="eastAsia"/>
                            <w:kern w:val="0"/>
                            <w:sz w:val="24"/>
                            <w:szCs w:val="24"/>
                          </w:rPr>
                          <w:t>账</w:t>
                        </w:r>
                        <w:proofErr w:type="gramEnd"/>
                        <w:r w:rsidRPr="0071120E">
                          <w:rPr>
                            <w:rFonts w:ascii="宋体" w:eastAsia="宋体" w:hAnsi="宋体" w:cs="宋体" w:hint="eastAsia"/>
                            <w:kern w:val="0"/>
                            <w:sz w:val="24"/>
                            <w:szCs w:val="24"/>
                          </w:rPr>
                          <w:t>进行核算，不得将对外投资长期在往来款科目核算。</w:t>
                        </w:r>
                      </w:p>
                      <w:p w:rsidR="0071120E" w:rsidRPr="0071120E" w:rsidRDefault="0071120E" w:rsidP="0071120E">
                        <w:pPr>
                          <w:widowControl/>
                          <w:spacing w:before="100" w:beforeAutospacing="1"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w:t>
                        </w:r>
                        <w:r w:rsidRPr="0071120E">
                          <w:rPr>
                            <w:rFonts w:ascii="宋体" w:eastAsia="宋体" w:hAnsi="宋体" w:cs="宋体" w:hint="eastAsia"/>
                            <w:b/>
                            <w:bCs/>
                            <w:kern w:val="0"/>
                            <w:sz w:val="24"/>
                            <w:szCs w:val="24"/>
                          </w:rPr>
                          <w:t>六、规范资产处置管理</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各部门和各单位要严格执行有关资产处置管理的规定。要根据实际及时处置长期积压的待报废资产，避免形成新的资产损失。资产处置事项要按照规定权限履行报批程序。资产处置要遵循公开、公平和竞争择优的原则。处置完毕的资产要及时进行账务核销，确保账实相符。切实做好党和国家机构改革、行业协会商会脱钩、事业单位分类改革等重大改革中涉及的资产处置工作，确保国有资产安全完整。</w:t>
                        </w:r>
                      </w:p>
                      <w:p w:rsidR="0071120E" w:rsidRPr="0071120E" w:rsidRDefault="0071120E" w:rsidP="0071120E">
                        <w:pPr>
                          <w:widowControl/>
                          <w:spacing w:before="100" w:beforeAutospacing="1"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w:t>
                        </w:r>
                        <w:r w:rsidRPr="0071120E">
                          <w:rPr>
                            <w:rFonts w:ascii="宋体" w:eastAsia="宋体" w:hAnsi="宋体" w:cs="宋体" w:hint="eastAsia"/>
                            <w:b/>
                            <w:bCs/>
                            <w:kern w:val="0"/>
                            <w:sz w:val="24"/>
                            <w:szCs w:val="24"/>
                          </w:rPr>
                          <w:t xml:space="preserve">　七、加强资产收入管理</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要加强资产处置收入、出租出借收入和对外投资收益管理，规范收支行为。行政事业单位国有资产处置收入和行政单位资产出租出借收入，要按照政府非税收入管理和国库集中收缴制度的有关规定，在扣除相关税费后及时上缴国库，实行“收支两条线”管理。事业单位对外投资和出租出借收入，要纳入单位预算，统一核算、统一管理，严禁形成“账外账”和小金库。</w:t>
                        </w:r>
                      </w:p>
                      <w:p w:rsidR="0071120E" w:rsidRPr="0071120E" w:rsidRDefault="0071120E" w:rsidP="0071120E">
                        <w:pPr>
                          <w:widowControl/>
                          <w:spacing w:before="100" w:beforeAutospacing="1"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w:t>
                        </w:r>
                        <w:r w:rsidRPr="0071120E">
                          <w:rPr>
                            <w:rFonts w:ascii="宋体" w:eastAsia="宋体" w:hAnsi="宋体" w:cs="宋体" w:hint="eastAsia"/>
                            <w:b/>
                            <w:bCs/>
                            <w:kern w:val="0"/>
                            <w:sz w:val="24"/>
                            <w:szCs w:val="24"/>
                          </w:rPr>
                          <w:t>八、认真做好各项基础性工作</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要及时完善各项规章制度，切实堵塞管理漏洞，夯实制度基础，并抓好制度的组织实施工作，提升制度约束力和执行力。各单位要准确完整登记资产卡片信息，确保“一卡一物”、不重不漏，定期清查盘点，及时处理资产盘盈、盘亏和资金挂账等事项。要加强流动资产、在建工程和无形资产管理，避免形成资金沉淀、在建工程长期不转固定资产、无形资产不纳入账内核算等问题。要建立和完</w:t>
                        </w:r>
                        <w:r w:rsidRPr="0071120E">
                          <w:rPr>
                            <w:rFonts w:ascii="宋体" w:eastAsia="宋体" w:hAnsi="宋体" w:cs="宋体" w:hint="eastAsia"/>
                            <w:kern w:val="0"/>
                            <w:sz w:val="24"/>
                            <w:szCs w:val="24"/>
                          </w:rPr>
                          <w:lastRenderedPageBreak/>
                          <w:t>善单位资产管理与财务管理部门之间的协同工作机制，及时对账，确保资产报表与会计</w:t>
                        </w:r>
                        <w:proofErr w:type="gramStart"/>
                        <w:r w:rsidRPr="0071120E">
                          <w:rPr>
                            <w:rFonts w:ascii="宋体" w:eastAsia="宋体" w:hAnsi="宋体" w:cs="宋体" w:hint="eastAsia"/>
                            <w:kern w:val="0"/>
                            <w:sz w:val="24"/>
                            <w:szCs w:val="24"/>
                          </w:rPr>
                          <w:t>账</w:t>
                        </w:r>
                        <w:proofErr w:type="gramEnd"/>
                        <w:r w:rsidRPr="0071120E">
                          <w:rPr>
                            <w:rFonts w:ascii="宋体" w:eastAsia="宋体" w:hAnsi="宋体" w:cs="宋体" w:hint="eastAsia"/>
                            <w:kern w:val="0"/>
                            <w:sz w:val="24"/>
                            <w:szCs w:val="24"/>
                          </w:rPr>
                          <w:t>相关数据相一致。要及时办理土地、房屋构筑物等资产权属证书，避免权属不清晰和产权纠纷。</w:t>
                        </w:r>
                      </w:p>
                      <w:p w:rsidR="0071120E" w:rsidRPr="0071120E" w:rsidRDefault="0071120E" w:rsidP="0071120E">
                        <w:pPr>
                          <w:widowControl/>
                          <w:spacing w:before="100" w:beforeAutospacing="1"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w:t>
                        </w:r>
                        <w:r w:rsidRPr="0071120E">
                          <w:rPr>
                            <w:rFonts w:ascii="宋体" w:eastAsia="宋体" w:hAnsi="宋体" w:cs="宋体" w:hint="eastAsia"/>
                            <w:b/>
                            <w:bCs/>
                            <w:kern w:val="0"/>
                            <w:sz w:val="24"/>
                            <w:szCs w:val="24"/>
                          </w:rPr>
                          <w:t>九、抓紧落实资产管理机构和管理力量</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要按照政府向同级人大常委会报告国有资产管理情况的要求，明确工作任务，抓好贯彻落实，做好各项工作。要在现有机构编制条件</w:t>
                        </w:r>
                        <w:proofErr w:type="gramStart"/>
                        <w:r w:rsidRPr="0071120E">
                          <w:rPr>
                            <w:rFonts w:ascii="宋体" w:eastAsia="宋体" w:hAnsi="宋体" w:cs="宋体" w:hint="eastAsia"/>
                            <w:kern w:val="0"/>
                            <w:sz w:val="24"/>
                            <w:szCs w:val="24"/>
                          </w:rPr>
                          <w:t>下明确</w:t>
                        </w:r>
                        <w:proofErr w:type="gramEnd"/>
                        <w:r w:rsidRPr="0071120E">
                          <w:rPr>
                            <w:rFonts w:ascii="宋体" w:eastAsia="宋体" w:hAnsi="宋体" w:cs="宋体" w:hint="eastAsia"/>
                            <w:kern w:val="0"/>
                            <w:sz w:val="24"/>
                            <w:szCs w:val="24"/>
                          </w:rPr>
                          <w:t>专门负责资产管理的机构和人员，明确资产管理各岗位的职责，建立岗位责任制。要将部门和单位切实承担资产管理的主体责任落到实处，资产管理机构和人员要加强资产使用和管理，切实负起责任。要进一步加强资产管理业务培训，搭建学习交流平台，提高资产管理干部队伍的素质和能力。</w:t>
                        </w:r>
                      </w:p>
                      <w:p w:rsidR="0071120E" w:rsidRPr="0071120E" w:rsidRDefault="0071120E" w:rsidP="0071120E">
                        <w:pPr>
                          <w:widowControl/>
                          <w:spacing w:before="100" w:beforeAutospacing="1"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w:t>
                        </w:r>
                        <w:r w:rsidRPr="0071120E">
                          <w:rPr>
                            <w:rFonts w:ascii="宋体" w:eastAsia="宋体" w:hAnsi="宋体" w:cs="宋体" w:hint="eastAsia"/>
                            <w:b/>
                            <w:bCs/>
                            <w:kern w:val="0"/>
                            <w:sz w:val="24"/>
                            <w:szCs w:val="24"/>
                          </w:rPr>
                          <w:t>十、严格抓好加强和改进资产管理的落实工作</w:t>
                        </w:r>
                      </w:p>
                      <w:p w:rsidR="0071120E" w:rsidRPr="0071120E" w:rsidRDefault="0071120E" w:rsidP="0071120E">
                        <w:pPr>
                          <w:widowControl/>
                          <w:spacing w:before="100" w:beforeAutospacing="1" w:after="240" w:line="432" w:lineRule="atLeast"/>
                          <w:jc w:val="lef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各部门和各单位要结合上述要求,对资产管理情况进行梳理和检查，并对货币资金</w:t>
                        </w:r>
                        <w:proofErr w:type="gramStart"/>
                        <w:r w:rsidRPr="0071120E">
                          <w:rPr>
                            <w:rFonts w:ascii="宋体" w:eastAsia="宋体" w:hAnsi="宋体" w:cs="宋体" w:hint="eastAsia"/>
                            <w:kern w:val="0"/>
                            <w:sz w:val="24"/>
                            <w:szCs w:val="24"/>
                          </w:rPr>
                          <w:t>占比较</w:t>
                        </w:r>
                        <w:proofErr w:type="gramEnd"/>
                        <w:r w:rsidRPr="0071120E">
                          <w:rPr>
                            <w:rFonts w:ascii="宋体" w:eastAsia="宋体" w:hAnsi="宋体" w:cs="宋体" w:hint="eastAsia"/>
                            <w:kern w:val="0"/>
                            <w:sz w:val="24"/>
                            <w:szCs w:val="24"/>
                          </w:rPr>
                          <w:t>高、在建工程未转固定资产等问题进行重点检查。对存在问题的，要抓紧制定整改方案，限期做好整改工作，研究建立加强和改进资产管理的长效机制，避免出现新的问题。财政部门要会同各部门对各单位改进资产管理工作情况进行监督、指导。各单位要将改进资产管理工作情况纳入本单位2018年度资产报告，对货币资金</w:t>
                        </w:r>
                        <w:proofErr w:type="gramStart"/>
                        <w:r w:rsidRPr="0071120E">
                          <w:rPr>
                            <w:rFonts w:ascii="宋体" w:eastAsia="宋体" w:hAnsi="宋体" w:cs="宋体" w:hint="eastAsia"/>
                            <w:kern w:val="0"/>
                            <w:sz w:val="24"/>
                            <w:szCs w:val="24"/>
                          </w:rPr>
                          <w:t>占比较</w:t>
                        </w:r>
                        <w:proofErr w:type="gramEnd"/>
                        <w:r w:rsidRPr="0071120E">
                          <w:rPr>
                            <w:rFonts w:ascii="宋体" w:eastAsia="宋体" w:hAnsi="宋体" w:cs="宋体" w:hint="eastAsia"/>
                            <w:kern w:val="0"/>
                            <w:sz w:val="24"/>
                            <w:szCs w:val="24"/>
                          </w:rPr>
                          <w:t>高、在建工程规模较大的要进行重点说明。各中央部门和地方财政部门要总结加强和改进资产管理的落实情况，随2018年度行政事业单位国有资产报告一并报财政部。</w:t>
                        </w:r>
                      </w:p>
                      <w:p w:rsidR="0071120E" w:rsidRPr="0071120E" w:rsidRDefault="0071120E" w:rsidP="0071120E">
                        <w:pPr>
                          <w:widowControl/>
                          <w:spacing w:before="100" w:beforeAutospacing="1" w:after="240" w:line="432" w:lineRule="atLeast"/>
                          <w:jc w:val="right"/>
                          <w:rPr>
                            <w:rFonts w:ascii="宋体" w:eastAsia="宋体" w:hAnsi="宋体" w:cs="宋体" w:hint="eastAsia"/>
                            <w:kern w:val="0"/>
                            <w:sz w:val="24"/>
                            <w:szCs w:val="24"/>
                          </w:rPr>
                        </w:pPr>
                        <w:r w:rsidRPr="0071120E">
                          <w:rPr>
                            <w:rFonts w:ascii="宋体" w:eastAsia="宋体" w:hAnsi="宋体" w:cs="宋体" w:hint="eastAsia"/>
                            <w:kern w:val="0"/>
                            <w:sz w:val="24"/>
                            <w:szCs w:val="24"/>
                          </w:rPr>
                          <w:t xml:space="preserve">　　财  政  部</w:t>
                        </w:r>
                      </w:p>
                      <w:p w:rsidR="0071120E" w:rsidRPr="0071120E" w:rsidRDefault="0071120E" w:rsidP="0071120E">
                        <w:pPr>
                          <w:widowControl/>
                          <w:spacing w:before="100" w:beforeAutospacing="1" w:line="432" w:lineRule="atLeast"/>
                          <w:jc w:val="right"/>
                          <w:rPr>
                            <w:rFonts w:ascii="宋体" w:eastAsia="宋体" w:hAnsi="宋体" w:cs="宋体"/>
                            <w:kern w:val="0"/>
                            <w:sz w:val="24"/>
                            <w:szCs w:val="24"/>
                          </w:rPr>
                        </w:pPr>
                        <w:r w:rsidRPr="0071120E">
                          <w:rPr>
                            <w:rFonts w:ascii="宋体" w:eastAsia="宋体" w:hAnsi="宋体" w:cs="宋体" w:hint="eastAsia"/>
                            <w:kern w:val="0"/>
                            <w:sz w:val="24"/>
                            <w:szCs w:val="24"/>
                          </w:rPr>
                          <w:t xml:space="preserve">　　2018年12月26日</w:t>
                        </w:r>
                      </w:p>
                    </w:tc>
                  </w:tr>
                </w:tbl>
                <w:p w:rsidR="0071120E" w:rsidRPr="0071120E" w:rsidRDefault="0071120E" w:rsidP="0071120E">
                  <w:pPr>
                    <w:widowControl/>
                    <w:spacing w:line="320" w:lineRule="atLeast"/>
                    <w:jc w:val="center"/>
                    <w:rPr>
                      <w:rFonts w:ascii="宋体" w:eastAsia="宋体" w:hAnsi="宋体" w:cs="宋体"/>
                      <w:kern w:val="0"/>
                      <w:sz w:val="18"/>
                      <w:szCs w:val="18"/>
                    </w:rPr>
                  </w:pPr>
                </w:p>
              </w:tc>
            </w:tr>
          </w:tbl>
          <w:p w:rsidR="0071120E" w:rsidRPr="0071120E" w:rsidRDefault="0071120E" w:rsidP="0071120E">
            <w:pPr>
              <w:widowControl/>
              <w:spacing w:line="320" w:lineRule="atLeast"/>
              <w:jc w:val="left"/>
              <w:rPr>
                <w:rFonts w:ascii="宋体" w:eastAsia="宋体" w:hAnsi="宋体" w:cs="宋体"/>
                <w:color w:val="000000"/>
                <w:kern w:val="0"/>
                <w:sz w:val="18"/>
                <w:szCs w:val="18"/>
              </w:rPr>
            </w:pPr>
          </w:p>
        </w:tc>
      </w:tr>
    </w:tbl>
    <w:p w:rsidR="008015B2" w:rsidRDefault="008015B2">
      <w:bookmarkStart w:id="0" w:name="_GoBack"/>
      <w:bookmarkEnd w:id="0"/>
    </w:p>
    <w:sectPr w:rsidR="00801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0E"/>
    <w:rsid w:val="0071120E"/>
    <w:rsid w:val="0080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3241">
      <w:bodyDiv w:val="1"/>
      <w:marLeft w:val="0"/>
      <w:marRight w:val="0"/>
      <w:marTop w:val="0"/>
      <w:marBottom w:val="0"/>
      <w:divBdr>
        <w:top w:val="none" w:sz="0" w:space="0" w:color="auto"/>
        <w:left w:val="none" w:sz="0" w:space="0" w:color="auto"/>
        <w:bottom w:val="none" w:sz="0" w:space="0" w:color="auto"/>
        <w:right w:val="none" w:sz="0" w:space="0" w:color="auto"/>
      </w:divBdr>
      <w:divsChild>
        <w:div w:id="1140223653">
          <w:marLeft w:val="0"/>
          <w:marRight w:val="0"/>
          <w:marTop w:val="0"/>
          <w:marBottom w:val="240"/>
          <w:divBdr>
            <w:top w:val="none" w:sz="0" w:space="0" w:color="auto"/>
            <w:left w:val="none" w:sz="0" w:space="0" w:color="auto"/>
            <w:bottom w:val="none" w:sz="0" w:space="0" w:color="auto"/>
            <w:right w:val="none" w:sz="0" w:space="0" w:color="auto"/>
          </w:divBdr>
        </w:div>
      </w:divsChild>
    </w:div>
    <w:div w:id="534269028">
      <w:bodyDiv w:val="1"/>
      <w:marLeft w:val="0"/>
      <w:marRight w:val="0"/>
      <w:marTop w:val="0"/>
      <w:marBottom w:val="0"/>
      <w:divBdr>
        <w:top w:val="none" w:sz="0" w:space="0" w:color="auto"/>
        <w:left w:val="none" w:sz="0" w:space="0" w:color="auto"/>
        <w:bottom w:val="none" w:sz="0" w:space="0" w:color="auto"/>
        <w:right w:val="none" w:sz="0" w:space="0" w:color="auto"/>
      </w:divBdr>
      <w:divsChild>
        <w:div w:id="1284733859">
          <w:marLeft w:val="0"/>
          <w:marRight w:val="0"/>
          <w:marTop w:val="0"/>
          <w:marBottom w:val="240"/>
          <w:divBdr>
            <w:top w:val="none" w:sz="0" w:space="0" w:color="auto"/>
            <w:left w:val="none" w:sz="0" w:space="0" w:color="auto"/>
            <w:bottom w:val="none" w:sz="0" w:space="0" w:color="auto"/>
            <w:right w:val="none" w:sz="0" w:space="0" w:color="auto"/>
          </w:divBdr>
        </w:div>
      </w:divsChild>
    </w:div>
    <w:div w:id="809249060">
      <w:bodyDiv w:val="1"/>
      <w:marLeft w:val="0"/>
      <w:marRight w:val="0"/>
      <w:marTop w:val="0"/>
      <w:marBottom w:val="0"/>
      <w:divBdr>
        <w:top w:val="none" w:sz="0" w:space="0" w:color="auto"/>
        <w:left w:val="none" w:sz="0" w:space="0" w:color="auto"/>
        <w:bottom w:val="none" w:sz="0" w:space="0" w:color="auto"/>
        <w:right w:val="none" w:sz="0" w:space="0" w:color="auto"/>
      </w:divBdr>
      <w:divsChild>
        <w:div w:id="173100412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O_O</dc:creator>
  <cp:lastModifiedBy>O_O</cp:lastModifiedBy>
  <cp:revision>1</cp:revision>
  <dcterms:created xsi:type="dcterms:W3CDTF">2019-01-25T08:53:00Z</dcterms:created>
  <dcterms:modified xsi:type="dcterms:W3CDTF">2019-01-25T08:54:00Z</dcterms:modified>
</cp:coreProperties>
</file>